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0D05A" w14:textId="1B365911" w:rsidR="0088323C" w:rsidRDefault="009E46C8" w:rsidP="00022DB1">
      <w:pPr>
        <w:spacing w:after="0" w:line="240" w:lineRule="auto"/>
        <w:contextualSpacing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[Date]</w:t>
      </w:r>
    </w:p>
    <w:p w14:paraId="737C8F56" w14:textId="77777777" w:rsidR="00271BD2" w:rsidRDefault="00271BD2" w:rsidP="00022DB1">
      <w:pPr>
        <w:spacing w:after="0" w:line="240" w:lineRule="auto"/>
        <w:contextualSpacing/>
        <w:rPr>
          <w:rFonts w:ascii="Times" w:eastAsia="Times" w:hAnsi="Times" w:cs="Times"/>
          <w:sz w:val="24"/>
          <w:szCs w:val="24"/>
        </w:rPr>
      </w:pPr>
    </w:p>
    <w:p w14:paraId="5E093027" w14:textId="46D9B8BC" w:rsidR="00022DB1" w:rsidRPr="00BA0E6E" w:rsidRDefault="00C75696" w:rsidP="00022DB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A0E6E">
        <w:rPr>
          <w:rFonts w:ascii="Times New Roman" w:eastAsia="Times New Roman" w:hAnsi="Times New Roman" w:cs="Times New Roman"/>
          <w:iCs/>
          <w:sz w:val="24"/>
          <w:szCs w:val="24"/>
        </w:rPr>
        <w:t xml:space="preserve">Office of the Principal Legal Advisor </w:t>
      </w:r>
    </w:p>
    <w:p w14:paraId="71F7EB2A" w14:textId="6EEAD50F" w:rsidR="003E556D" w:rsidRDefault="003E556D" w:rsidP="00022DB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[OPLA Lawyer]</w:t>
      </w:r>
    </w:p>
    <w:p w14:paraId="5EA82263" w14:textId="66A563F0" w:rsidR="0037664C" w:rsidRDefault="0037664C" w:rsidP="00022DB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[Address]</w:t>
      </w:r>
    </w:p>
    <w:p w14:paraId="2FC60DD8" w14:textId="006D66F8" w:rsidR="00ED76D2" w:rsidRPr="00BA0E6E" w:rsidRDefault="00C75696" w:rsidP="00022DB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A0E6E">
        <w:rPr>
          <w:rFonts w:ascii="Times New Roman" w:eastAsia="Times New Roman" w:hAnsi="Times New Roman" w:cs="Times New Roman"/>
          <w:iCs/>
          <w:sz w:val="24"/>
          <w:szCs w:val="24"/>
        </w:rPr>
        <w:t>[E</w:t>
      </w:r>
      <w:r w:rsidR="0037664C">
        <w:rPr>
          <w:rFonts w:ascii="Times New Roman" w:eastAsia="Times New Roman" w:hAnsi="Times New Roman" w:cs="Times New Roman"/>
          <w:iCs/>
          <w:sz w:val="24"/>
          <w:szCs w:val="24"/>
        </w:rPr>
        <w:t>mail</w:t>
      </w:r>
      <w:r w:rsidRPr="00BA0E6E">
        <w:rPr>
          <w:rFonts w:ascii="Times New Roman" w:eastAsia="Times New Roman" w:hAnsi="Times New Roman" w:cs="Times New Roman"/>
          <w:iCs/>
          <w:sz w:val="24"/>
          <w:szCs w:val="24"/>
        </w:rPr>
        <w:t xml:space="preserve">] </w:t>
      </w:r>
    </w:p>
    <w:p w14:paraId="2AD789C3" w14:textId="77777777" w:rsidR="00C75696" w:rsidRPr="00BA0E6E" w:rsidRDefault="00C75696" w:rsidP="00022DB1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189314B" w14:textId="1B60FB7D" w:rsidR="00022DB1" w:rsidRPr="00BA0E6E" w:rsidRDefault="00022DB1" w:rsidP="00ED76D2">
      <w:pPr>
        <w:spacing w:after="0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BA0E6E">
        <w:rPr>
          <w:rFonts w:ascii="Times New Roman" w:eastAsia="Times" w:hAnsi="Times New Roman" w:cs="Times New Roman"/>
          <w:sz w:val="24"/>
          <w:szCs w:val="24"/>
        </w:rPr>
        <w:t>R</w:t>
      </w:r>
      <w:r w:rsidR="00DE6883" w:rsidRPr="00BA0E6E">
        <w:rPr>
          <w:rFonts w:ascii="Times New Roman" w:eastAsia="Times" w:hAnsi="Times New Roman" w:cs="Times New Roman"/>
          <w:sz w:val="24"/>
          <w:szCs w:val="24"/>
        </w:rPr>
        <w:t>e:</w:t>
      </w:r>
      <w:r w:rsidRPr="00BA0E6E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Pr="00BA0E6E">
        <w:rPr>
          <w:rFonts w:ascii="Times New Roman" w:eastAsia="Times" w:hAnsi="Times New Roman" w:cs="Times New Roman"/>
          <w:sz w:val="24"/>
          <w:szCs w:val="24"/>
        </w:rPr>
        <w:tab/>
      </w:r>
      <w:r w:rsidR="00ED76D2" w:rsidRPr="00BA0E6E">
        <w:rPr>
          <w:rFonts w:ascii="Times New Roman" w:eastAsia="Times" w:hAnsi="Times New Roman" w:cs="Times New Roman"/>
          <w:sz w:val="24"/>
          <w:szCs w:val="24"/>
        </w:rPr>
        <w:t xml:space="preserve">Request for </w:t>
      </w:r>
      <w:r w:rsidR="00C75696" w:rsidRPr="00BA0E6E">
        <w:rPr>
          <w:rFonts w:ascii="Times New Roman" w:eastAsia="Times" w:hAnsi="Times New Roman" w:cs="Times New Roman"/>
          <w:sz w:val="24"/>
          <w:szCs w:val="24"/>
        </w:rPr>
        <w:t>Prosecutorial Discretion</w:t>
      </w:r>
    </w:p>
    <w:p w14:paraId="2B223F3C" w14:textId="32838760" w:rsidR="00ED76D2" w:rsidRPr="00BA0E6E" w:rsidRDefault="00ED76D2" w:rsidP="00ED76D2">
      <w:pPr>
        <w:spacing w:after="0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BA0E6E">
        <w:rPr>
          <w:rFonts w:ascii="Times New Roman" w:eastAsia="Times" w:hAnsi="Times New Roman" w:cs="Times New Roman"/>
          <w:sz w:val="24"/>
          <w:szCs w:val="24"/>
        </w:rPr>
        <w:tab/>
        <w:t>[</w:t>
      </w:r>
      <w:r w:rsidR="0037664C">
        <w:rPr>
          <w:rFonts w:ascii="Times New Roman" w:eastAsia="Times" w:hAnsi="Times New Roman" w:cs="Times New Roman"/>
          <w:sz w:val="24"/>
          <w:szCs w:val="24"/>
        </w:rPr>
        <w:t>Client’s Name</w:t>
      </w:r>
      <w:r w:rsidRPr="00BA0E6E">
        <w:rPr>
          <w:rFonts w:ascii="Times New Roman" w:eastAsia="Times" w:hAnsi="Times New Roman" w:cs="Times New Roman"/>
          <w:sz w:val="24"/>
          <w:szCs w:val="24"/>
        </w:rPr>
        <w:t>]</w:t>
      </w:r>
    </w:p>
    <w:p w14:paraId="03A1C451" w14:textId="2137CD9B" w:rsidR="00ED76D2" w:rsidRPr="00BA0E6E" w:rsidRDefault="00ED76D2" w:rsidP="00ED76D2">
      <w:pPr>
        <w:spacing w:after="0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BA0E6E">
        <w:rPr>
          <w:rFonts w:ascii="Times New Roman" w:eastAsia="Times" w:hAnsi="Times New Roman" w:cs="Times New Roman"/>
          <w:sz w:val="24"/>
          <w:szCs w:val="24"/>
        </w:rPr>
        <w:tab/>
        <w:t>[C</w:t>
      </w:r>
      <w:r w:rsidR="0037664C">
        <w:rPr>
          <w:rFonts w:ascii="Times New Roman" w:eastAsia="Times" w:hAnsi="Times New Roman" w:cs="Times New Roman"/>
          <w:sz w:val="24"/>
          <w:szCs w:val="24"/>
        </w:rPr>
        <w:t>lient’s</w:t>
      </w:r>
      <w:r w:rsidRPr="00BA0E6E">
        <w:rPr>
          <w:rFonts w:ascii="Times New Roman" w:eastAsia="Times" w:hAnsi="Times New Roman" w:cs="Times New Roman"/>
          <w:sz w:val="24"/>
          <w:szCs w:val="24"/>
        </w:rPr>
        <w:t xml:space="preserve"> A-Number]</w:t>
      </w:r>
    </w:p>
    <w:p w14:paraId="03FBFE0B" w14:textId="77777777" w:rsidR="00E10E88" w:rsidRPr="00BA0E6E" w:rsidRDefault="00E10E88" w:rsidP="00E10E8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0E25F00" w14:textId="1C3B95FB" w:rsidR="00022DB1" w:rsidRPr="00BA0E6E" w:rsidRDefault="00ED76D2" w:rsidP="00022D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A0E6E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C75696" w:rsidRPr="00BA0E6E">
        <w:rPr>
          <w:rFonts w:ascii="Times New Roman" w:eastAsia="Times New Roman" w:hAnsi="Times New Roman" w:cs="Times New Roman"/>
          <w:sz w:val="24"/>
          <w:szCs w:val="24"/>
        </w:rPr>
        <w:t>[OPLA L</w:t>
      </w:r>
      <w:r w:rsidR="0037664C">
        <w:rPr>
          <w:rFonts w:ascii="Times New Roman" w:eastAsia="Times New Roman" w:hAnsi="Times New Roman" w:cs="Times New Roman"/>
          <w:sz w:val="24"/>
          <w:szCs w:val="24"/>
        </w:rPr>
        <w:t>awyer</w:t>
      </w:r>
      <w:r w:rsidR="00C75696" w:rsidRPr="00BA0E6E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</w:p>
    <w:p w14:paraId="39E39233" w14:textId="77777777" w:rsidR="00F63F91" w:rsidRPr="00BA0E6E" w:rsidRDefault="00F63F91" w:rsidP="00022D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5E4F12" w14:textId="7BDCE134" w:rsidR="0037664C" w:rsidRDefault="00C75696" w:rsidP="00AA04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E6E">
        <w:rPr>
          <w:rFonts w:ascii="Times New Roman" w:eastAsia="Times New Roman" w:hAnsi="Times New Roman" w:cs="Times New Roman"/>
          <w:sz w:val="24"/>
          <w:szCs w:val="24"/>
        </w:rPr>
        <w:t>I am the attorney of record for [</w:t>
      </w:r>
      <w:r w:rsidR="0037664C">
        <w:rPr>
          <w:rFonts w:ascii="Times New Roman" w:eastAsia="Times New Roman" w:hAnsi="Times New Roman" w:cs="Times New Roman"/>
          <w:sz w:val="24"/>
          <w:szCs w:val="24"/>
        </w:rPr>
        <w:t>Client</w:t>
      </w:r>
      <w:r w:rsidRPr="00BA0E6E">
        <w:rPr>
          <w:rFonts w:ascii="Times New Roman" w:eastAsia="Times New Roman" w:hAnsi="Times New Roman" w:cs="Times New Roman"/>
          <w:sz w:val="24"/>
          <w:szCs w:val="24"/>
        </w:rPr>
        <w:t>]</w:t>
      </w:r>
      <w:r w:rsidR="00363DC5" w:rsidRPr="00BA0E6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A0E6E">
        <w:rPr>
          <w:rFonts w:ascii="Times New Roman" w:eastAsia="Times New Roman" w:hAnsi="Times New Roman" w:cs="Times New Roman"/>
          <w:sz w:val="24"/>
          <w:szCs w:val="24"/>
        </w:rPr>
        <w:t xml:space="preserve"> [C</w:t>
      </w:r>
      <w:r w:rsidR="0037664C">
        <w:rPr>
          <w:rFonts w:ascii="Times New Roman" w:eastAsia="Times New Roman" w:hAnsi="Times New Roman" w:cs="Times New Roman"/>
          <w:sz w:val="24"/>
          <w:szCs w:val="24"/>
        </w:rPr>
        <w:t>lient’</w:t>
      </w:r>
      <w:r w:rsidRPr="00BA0E6E">
        <w:rPr>
          <w:rFonts w:ascii="Times New Roman" w:eastAsia="Times New Roman" w:hAnsi="Times New Roman" w:cs="Times New Roman"/>
          <w:sz w:val="24"/>
          <w:szCs w:val="24"/>
        </w:rPr>
        <w:t>s A-N</w:t>
      </w:r>
      <w:r w:rsidR="0037664C">
        <w:rPr>
          <w:rFonts w:ascii="Times New Roman" w:eastAsia="Times New Roman" w:hAnsi="Times New Roman" w:cs="Times New Roman"/>
          <w:sz w:val="24"/>
          <w:szCs w:val="24"/>
        </w:rPr>
        <w:t>umber</w:t>
      </w:r>
      <w:r w:rsidRPr="00BA0E6E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 xml:space="preserve">My G-28 is attached. </w:t>
      </w:r>
      <w:r w:rsidRPr="00BA0E6E">
        <w:rPr>
          <w:rFonts w:ascii="Times New Roman" w:eastAsia="Times New Roman" w:hAnsi="Times New Roman" w:cs="Times New Roman"/>
          <w:sz w:val="24"/>
          <w:szCs w:val="24"/>
        </w:rPr>
        <w:t xml:space="preserve">I write to request that your office </w:t>
      </w:r>
      <w:r w:rsidR="0037664C" w:rsidRPr="0037664C">
        <w:rPr>
          <w:rFonts w:ascii="Times New Roman" w:eastAsia="Times New Roman" w:hAnsi="Times New Roman" w:cs="Times New Roman"/>
          <w:sz w:val="24"/>
          <w:szCs w:val="24"/>
        </w:rPr>
        <w:t xml:space="preserve">exercise prosecutorial discretion under 8 C.F.R. § 1239.2(c) </w:t>
      </w:r>
      <w:r w:rsidR="00D30064">
        <w:rPr>
          <w:rFonts w:ascii="Times New Roman" w:eastAsia="Times New Roman" w:hAnsi="Times New Roman" w:cs="Times New Roman"/>
          <w:sz w:val="24"/>
          <w:szCs w:val="24"/>
        </w:rPr>
        <w:t>and move</w:t>
      </w:r>
      <w:r w:rsidR="0037664C">
        <w:rPr>
          <w:rFonts w:ascii="Times New Roman" w:eastAsia="Times New Roman" w:hAnsi="Times New Roman" w:cs="Times New Roman"/>
          <w:sz w:val="24"/>
          <w:szCs w:val="24"/>
        </w:rPr>
        <w:t xml:space="preserve"> to dismiss</w:t>
      </w:r>
      <w:r w:rsidR="008824E4">
        <w:rPr>
          <w:rFonts w:ascii="Times New Roman" w:eastAsia="Times New Roman" w:hAnsi="Times New Roman" w:cs="Times New Roman"/>
          <w:sz w:val="24"/>
          <w:szCs w:val="24"/>
        </w:rPr>
        <w:t xml:space="preserve"> or terminate</w:t>
      </w:r>
      <w:r w:rsidR="0037664C">
        <w:rPr>
          <w:rFonts w:ascii="Times New Roman" w:eastAsia="Times New Roman" w:hAnsi="Times New Roman" w:cs="Times New Roman"/>
          <w:sz w:val="24"/>
          <w:szCs w:val="24"/>
        </w:rPr>
        <w:t xml:space="preserve"> [Client’s]</w:t>
      </w:r>
      <w:r w:rsidR="0037664C" w:rsidRPr="0037664C">
        <w:rPr>
          <w:rFonts w:ascii="Times New Roman" w:eastAsia="Times New Roman" w:hAnsi="Times New Roman" w:cs="Times New Roman"/>
          <w:sz w:val="24"/>
          <w:szCs w:val="24"/>
        </w:rPr>
        <w:t xml:space="preserve"> removal proceedings</w:t>
      </w:r>
      <w:r w:rsidR="00243D60">
        <w:rPr>
          <w:rFonts w:ascii="Times New Roman" w:eastAsia="Times New Roman" w:hAnsi="Times New Roman" w:cs="Times New Roman"/>
          <w:sz w:val="24"/>
          <w:szCs w:val="24"/>
        </w:rPr>
        <w:t>, consistent with applicable internal ICE guidance, because [he/she] is not deportable; the Notice to Appear was issued improvidently; and circumstances of the case have changed</w:t>
      </w:r>
      <w:r w:rsidR="0068036C" w:rsidRPr="00BA0E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B3199">
        <w:rPr>
          <w:rFonts w:ascii="Times New Roman" w:eastAsia="Times New Roman" w:hAnsi="Times New Roman" w:cs="Times New Roman"/>
          <w:sz w:val="24"/>
          <w:szCs w:val="24"/>
        </w:rPr>
        <w:t xml:space="preserve">In the alternative, I request that your office join a motion to administratively close </w:t>
      </w:r>
      <w:r w:rsidR="001C131B">
        <w:rPr>
          <w:rFonts w:ascii="Times New Roman" w:eastAsia="Times New Roman" w:hAnsi="Times New Roman" w:cs="Times New Roman"/>
          <w:sz w:val="24"/>
          <w:szCs w:val="24"/>
        </w:rPr>
        <w:t>[Client’s]</w:t>
      </w:r>
      <w:r w:rsidR="001C131B" w:rsidRPr="0037664C">
        <w:rPr>
          <w:rFonts w:ascii="Times New Roman" w:eastAsia="Times New Roman" w:hAnsi="Times New Roman" w:cs="Times New Roman"/>
          <w:sz w:val="24"/>
          <w:szCs w:val="24"/>
        </w:rPr>
        <w:t xml:space="preserve"> removal proceedings</w:t>
      </w:r>
      <w:r w:rsidR="001C131B">
        <w:rPr>
          <w:rFonts w:ascii="Times New Roman" w:eastAsia="Times New Roman" w:hAnsi="Times New Roman" w:cs="Times New Roman"/>
          <w:sz w:val="24"/>
          <w:szCs w:val="24"/>
        </w:rPr>
        <w:t xml:space="preserve"> under</w:t>
      </w:r>
      <w:r w:rsidR="00AB31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199" w:rsidRPr="00AB3199">
        <w:rPr>
          <w:rFonts w:ascii="Times New Roman" w:eastAsia="Times New Roman" w:hAnsi="Times New Roman" w:cs="Times New Roman"/>
          <w:sz w:val="24"/>
          <w:szCs w:val="24"/>
        </w:rPr>
        <w:t xml:space="preserve">8 CFR </w:t>
      </w:r>
      <w:r w:rsidR="00FB505D" w:rsidRPr="0037664C">
        <w:rPr>
          <w:rFonts w:ascii="Times New Roman" w:eastAsia="Times New Roman" w:hAnsi="Times New Roman" w:cs="Times New Roman"/>
          <w:sz w:val="24"/>
          <w:szCs w:val="24"/>
        </w:rPr>
        <w:t>§</w:t>
      </w:r>
      <w:r w:rsidR="00296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199" w:rsidRPr="00AB3199">
        <w:rPr>
          <w:rFonts w:ascii="Times New Roman" w:eastAsia="Times New Roman" w:hAnsi="Times New Roman" w:cs="Times New Roman"/>
          <w:sz w:val="24"/>
          <w:szCs w:val="24"/>
        </w:rPr>
        <w:t>1003.18(c)(3)</w:t>
      </w:r>
      <w:r w:rsidR="00AB31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0BE51" w14:textId="77777777" w:rsidR="0037664C" w:rsidRDefault="0037664C" w:rsidP="00AA04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5502D" w14:textId="068513AE" w:rsidR="002C564E" w:rsidRDefault="002C564E" w:rsidP="00AA04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[date], [Client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experienced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brief description of crime]. </w:t>
      </w:r>
      <w:r w:rsidR="00C51979">
        <w:rPr>
          <w:rFonts w:ascii="Times New Roman" w:eastAsia="Times New Roman" w:hAnsi="Times New Roman" w:cs="Times New Roman"/>
          <w:sz w:val="24"/>
          <w:szCs w:val="24"/>
        </w:rPr>
        <w:t>[Brief description of client’s cooperation with law enforcement].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[date], [police/agency] certified [Client’s] [I-918] (if applicable). On [date], [Client] submitted a complete [U visa/ T visa] petition, which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>remains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pending with USCIS.</w:t>
      </w:r>
      <w:r w:rsidR="002907A9">
        <w:rPr>
          <w:rFonts w:ascii="Times New Roman" w:eastAsia="Times New Roman" w:hAnsi="Times New Roman" w:cs="Times New Roman"/>
          <w:sz w:val="24"/>
          <w:szCs w:val="24"/>
        </w:rPr>
        <w:t xml:space="preserve"> On [date], USCIS issued [Client] a notice of [bona fide determination/ waiting list placement] and granted [Client] deferred action [for a period of four years]. [Client] has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2907A9">
        <w:rPr>
          <w:rFonts w:ascii="Times New Roman" w:eastAsia="Times New Roman" w:hAnsi="Times New Roman" w:cs="Times New Roman"/>
          <w:sz w:val="24"/>
          <w:szCs w:val="24"/>
        </w:rPr>
        <w:t>c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>)(1</w:t>
      </w:r>
      <w:r w:rsidR="002907A9">
        <w:rPr>
          <w:rFonts w:ascii="Times New Roman" w:eastAsia="Times New Roman" w:hAnsi="Times New Roman" w:cs="Times New Roman"/>
          <w:sz w:val="24"/>
          <w:szCs w:val="24"/>
        </w:rPr>
        <w:t>4) work authorization based on that deferred action, which will not expire until [date].</w:t>
      </w:r>
    </w:p>
    <w:p w14:paraId="3C2FBC4F" w14:textId="77777777" w:rsidR="002C564E" w:rsidRDefault="002C564E" w:rsidP="00AA04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A2FB0" w14:textId="718B411D" w:rsidR="00E35119" w:rsidRDefault="00243D60" w:rsidP="00AA04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First, </w:t>
      </w:r>
      <w:r w:rsidR="008824E4">
        <w:rPr>
          <w:rFonts w:ascii="Times New Roman" w:eastAsia="Times New Roman" w:hAnsi="Times New Roman" w:cs="Times New Roman"/>
          <w:sz w:val="24"/>
          <w:szCs w:val="24"/>
        </w:rPr>
        <w:t>d</w:t>
      </w:r>
      <w:r w:rsidR="0037664C">
        <w:rPr>
          <w:rFonts w:ascii="Times New Roman" w:eastAsia="Times New Roman" w:hAnsi="Times New Roman" w:cs="Times New Roman"/>
          <w:sz w:val="24"/>
          <w:szCs w:val="24"/>
        </w:rPr>
        <w:t>ismissal is warranted because</w:t>
      </w:r>
      <w:r w:rsidR="00E35119">
        <w:rPr>
          <w:rFonts w:ascii="Times New Roman" w:eastAsia="Times New Roman" w:hAnsi="Times New Roman" w:cs="Times New Roman"/>
          <w:sz w:val="24"/>
          <w:szCs w:val="24"/>
        </w:rPr>
        <w:t xml:space="preserve"> [Client] “is not deportable.” 8 C.F.R. </w:t>
      </w:r>
      <w:r w:rsidR="00E35119" w:rsidRPr="0037664C">
        <w:rPr>
          <w:rFonts w:ascii="Times New Roman" w:eastAsia="Times New Roman" w:hAnsi="Times New Roman" w:cs="Times New Roman"/>
          <w:sz w:val="24"/>
          <w:szCs w:val="24"/>
        </w:rPr>
        <w:t>§ 239.2</w:t>
      </w:r>
      <w:r w:rsidR="00E35119">
        <w:rPr>
          <w:rFonts w:ascii="Times New Roman" w:eastAsia="Times New Roman" w:hAnsi="Times New Roman" w:cs="Times New Roman"/>
          <w:sz w:val="24"/>
          <w:szCs w:val="24"/>
        </w:rPr>
        <w:t xml:space="preserve">(a)(2). </w:t>
      </w:r>
      <w:r w:rsidR="00E35119" w:rsidRPr="00E35119">
        <w:rPr>
          <w:rFonts w:ascii="Times New Roman" w:eastAsia="Times New Roman" w:hAnsi="Times New Roman" w:cs="Times New Roman"/>
          <w:sz w:val="24"/>
          <w:szCs w:val="24"/>
        </w:rPr>
        <w:t xml:space="preserve">Deferred Action is “a form of prosecutorial discretion whereby the Department of Homeland Security declines to pursue the removal of a person unlawfully present in the United States.” </w:t>
      </w:r>
      <w:r w:rsidR="00E35119" w:rsidRPr="00E35119">
        <w:rPr>
          <w:rFonts w:ascii="Times New Roman" w:eastAsia="Times New Roman" w:hAnsi="Times New Roman" w:cs="Times New Roman"/>
          <w:i/>
          <w:iCs/>
          <w:sz w:val="24"/>
          <w:szCs w:val="24"/>
        </w:rPr>
        <w:t>Ariz. Dream Act Coal. v. Brewer</w:t>
      </w:r>
      <w:r w:rsidR="00E35119" w:rsidRPr="00E35119">
        <w:rPr>
          <w:rFonts w:ascii="Times New Roman" w:eastAsia="Times New Roman" w:hAnsi="Times New Roman" w:cs="Times New Roman"/>
          <w:sz w:val="24"/>
          <w:szCs w:val="24"/>
        </w:rPr>
        <w:t>, 855 F.3d 957, 967 (9th Cir. 2017</w:t>
      </w:r>
      <w:r w:rsidR="00E35119">
        <w:rPr>
          <w:rFonts w:ascii="Times New Roman" w:eastAsia="Times New Roman" w:hAnsi="Times New Roman" w:cs="Times New Roman"/>
          <w:sz w:val="24"/>
          <w:szCs w:val="24"/>
        </w:rPr>
        <w:t>). When a [U visa/T visa] petitioner is granted deferred action pursuant to a bona fide determination on their application,</w:t>
      </w:r>
      <w:r w:rsidR="00E35119" w:rsidRPr="00E35119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E35119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E35119" w:rsidRPr="00E35119">
        <w:rPr>
          <w:rFonts w:ascii="Times New Roman" w:eastAsia="Times New Roman" w:hAnsi="Times New Roman" w:cs="Times New Roman"/>
          <w:sz w:val="24"/>
          <w:szCs w:val="24"/>
        </w:rPr>
        <w:t xml:space="preserve">deferred action prevents recipients’ removal from the United States.” </w:t>
      </w:r>
      <w:r w:rsidR="00E35119" w:rsidRPr="00E35119">
        <w:rPr>
          <w:rFonts w:ascii="Times New Roman" w:eastAsia="Times New Roman" w:hAnsi="Times New Roman" w:cs="Times New Roman"/>
          <w:i/>
          <w:iCs/>
          <w:sz w:val="24"/>
          <w:szCs w:val="24"/>
        </w:rPr>
        <w:t>Sepulveda Ayala v. Bondi</w:t>
      </w:r>
      <w:r w:rsidR="00E35119" w:rsidRPr="00E35119">
        <w:rPr>
          <w:rFonts w:ascii="Times New Roman" w:eastAsia="Times New Roman" w:hAnsi="Times New Roman" w:cs="Times New Roman"/>
          <w:sz w:val="24"/>
          <w:szCs w:val="24"/>
        </w:rPr>
        <w:t xml:space="preserve">, 794 F. Supp. 3d 901, 912 (W.D. Wash. 2025) (collecting cases) (W.D. Wash. July 24, 2025); </w:t>
      </w:r>
      <w:r w:rsidR="00E35119" w:rsidRPr="00E35119">
        <w:rPr>
          <w:rFonts w:ascii="Times New Roman" w:eastAsia="Times New Roman" w:hAnsi="Times New Roman" w:cs="Times New Roman"/>
          <w:i/>
          <w:iCs/>
          <w:sz w:val="24"/>
          <w:szCs w:val="24"/>
        </w:rPr>
        <w:t>Gama v. Bondi</w:t>
      </w:r>
      <w:r w:rsidR="00E35119" w:rsidRPr="00E35119">
        <w:rPr>
          <w:rFonts w:ascii="Times New Roman" w:eastAsia="Times New Roman" w:hAnsi="Times New Roman" w:cs="Times New Roman"/>
          <w:sz w:val="24"/>
          <w:szCs w:val="24"/>
        </w:rPr>
        <w:t>, No. 2:25-cv-01925-TL, 2025 WL 3559942, at *3 (W.D. Wash. Dec. 12, 2025) (explaining that “[n]</w:t>
      </w:r>
      <w:proofErr w:type="spellStart"/>
      <w:r w:rsidR="00E35119" w:rsidRPr="00E35119">
        <w:rPr>
          <w:rFonts w:ascii="Times New Roman" w:eastAsia="Times New Roman" w:hAnsi="Times New Roman" w:cs="Times New Roman"/>
          <w:sz w:val="24"/>
          <w:szCs w:val="24"/>
        </w:rPr>
        <w:t>ot</w:t>
      </w:r>
      <w:proofErr w:type="spellEnd"/>
      <w:r w:rsidR="00E35119" w:rsidRPr="00E35119">
        <w:rPr>
          <w:rFonts w:ascii="Times New Roman" w:eastAsia="Times New Roman" w:hAnsi="Times New Roman" w:cs="Times New Roman"/>
          <w:sz w:val="24"/>
          <w:szCs w:val="24"/>
        </w:rPr>
        <w:t xml:space="preserve"> only has the Supreme Court provided guidance for the definition of deferred action, but opinions in the Ninth Circuit also have confirmed that a grant of deferred action prevents its recipient's removal from the United States”).</w:t>
      </w:r>
    </w:p>
    <w:p w14:paraId="19B5603A" w14:textId="77777777" w:rsidR="00E35119" w:rsidRDefault="00E35119" w:rsidP="00AA04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26BCA" w14:textId="77777777" w:rsidR="009E46C8" w:rsidRDefault="00243D60" w:rsidP="00AA04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Second, the Notice to Appear was issued improvidently. </w:t>
      </w:r>
      <w:r w:rsidR="00AF66C7">
        <w:rPr>
          <w:rFonts w:ascii="Times New Roman" w:eastAsia="Times New Roman" w:hAnsi="Times New Roman" w:cs="Times New Roman"/>
          <w:sz w:val="24"/>
          <w:szCs w:val="24"/>
        </w:rPr>
        <w:t xml:space="preserve">8 C.F.R. </w:t>
      </w:r>
      <w:r w:rsidR="00AF66C7" w:rsidRPr="0037664C">
        <w:rPr>
          <w:rFonts w:ascii="Times New Roman" w:eastAsia="Times New Roman" w:hAnsi="Times New Roman" w:cs="Times New Roman"/>
          <w:sz w:val="24"/>
          <w:szCs w:val="24"/>
        </w:rPr>
        <w:t>§ 239.2</w:t>
      </w:r>
      <w:r w:rsidR="00AF66C7">
        <w:rPr>
          <w:rFonts w:ascii="Times New Roman" w:eastAsia="Times New Roman" w:hAnsi="Times New Roman" w:cs="Times New Roman"/>
          <w:sz w:val="24"/>
          <w:szCs w:val="24"/>
        </w:rPr>
        <w:t xml:space="preserve">(a)(6). </w:t>
      </w:r>
      <w:r w:rsidR="00FB505D">
        <w:rPr>
          <w:rFonts w:ascii="Times New Roman" w:hAnsi="Times New Roman" w:cs="Times New Roman"/>
          <w:sz w:val="24"/>
          <w:szCs w:val="24"/>
        </w:rPr>
        <w:t xml:space="preserve">A federal judge recently stayed </w:t>
      </w:r>
      <w:hyperlink r:id="rId8" w:history="1">
        <w:r w:rsidR="00FB505D" w:rsidRPr="0028553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2025 Guidance, </w:t>
        </w:r>
        <w:r w:rsidR="00FB505D" w:rsidRPr="0028553C">
          <w:rPr>
            <w:rStyle w:val="Hyperlink"/>
            <w:rFonts w:ascii="Times New Roman" w:hAnsi="Times New Roman" w:cs="Times New Roman"/>
            <w:sz w:val="24"/>
            <w:szCs w:val="24"/>
          </w:rPr>
          <w:t>ICE Policy Number 11005.4,</w:t>
        </w:r>
      </w:hyperlink>
      <w:r w:rsidR="00FB505D">
        <w:rPr>
          <w:rFonts w:ascii="Times New Roman" w:hAnsi="Times New Roman" w:cs="Times New Roman"/>
          <w:sz w:val="24"/>
          <w:szCs w:val="24"/>
        </w:rPr>
        <w:t xml:space="preserve"> which </w:t>
      </w:r>
      <w:r w:rsidR="00FB505D">
        <w:rPr>
          <w:rFonts w:ascii="Times New Roman" w:eastAsia="Times New Roman" w:hAnsi="Times New Roman" w:cs="Times New Roman"/>
          <w:sz w:val="24"/>
          <w:szCs w:val="24"/>
        </w:rPr>
        <w:t xml:space="preserve">rescinded protections for U, T, and VAWA petitioners. </w:t>
      </w:r>
      <w:proofErr w:type="spellStart"/>
      <w:r w:rsidR="00FB505D" w:rsidRPr="001E2DFD">
        <w:rPr>
          <w:rFonts w:ascii="Times New Roman" w:hAnsi="Times New Roman" w:cs="Times New Roman"/>
          <w:i/>
          <w:iCs/>
          <w:sz w:val="24"/>
          <w:szCs w:val="24"/>
        </w:rPr>
        <w:t>Immigr</w:t>
      </w:r>
      <w:proofErr w:type="spellEnd"/>
      <w:r w:rsidR="00FB505D" w:rsidRPr="001E2DFD">
        <w:rPr>
          <w:rFonts w:ascii="Times New Roman" w:hAnsi="Times New Roman" w:cs="Times New Roman"/>
          <w:i/>
          <w:iCs/>
          <w:sz w:val="24"/>
          <w:szCs w:val="24"/>
        </w:rPr>
        <w:t>. Ctr. for Women &amp; Child. v. Noem</w:t>
      </w:r>
      <w:r w:rsidR="00FB505D" w:rsidRPr="001E2DFD">
        <w:rPr>
          <w:rFonts w:ascii="Times New Roman" w:hAnsi="Times New Roman" w:cs="Times New Roman"/>
          <w:sz w:val="24"/>
          <w:szCs w:val="24"/>
        </w:rPr>
        <w:t>, No. 2:25-CV-09848-AB-AS, 2026 WL 1455004, at *47 (C.D. Cal. May 20, 2026)</w:t>
      </w:r>
      <w:r w:rsidR="00FB505D">
        <w:rPr>
          <w:rFonts w:ascii="Times New Roman" w:hAnsi="Times New Roman" w:cs="Times New Roman"/>
          <w:sz w:val="24"/>
          <w:szCs w:val="24"/>
        </w:rPr>
        <w:t xml:space="preserve"> (</w:t>
      </w:r>
      <w:r w:rsidR="009E46C8">
        <w:rPr>
          <w:rFonts w:ascii="Times New Roman" w:hAnsi="Times New Roman" w:cs="Times New Roman"/>
          <w:sz w:val="24"/>
          <w:szCs w:val="24"/>
        </w:rPr>
        <w:t xml:space="preserve">hereinafter </w:t>
      </w:r>
      <w:r w:rsidR="00FB505D">
        <w:rPr>
          <w:rFonts w:ascii="Times New Roman" w:hAnsi="Times New Roman" w:cs="Times New Roman"/>
          <w:sz w:val="24"/>
          <w:szCs w:val="24"/>
        </w:rPr>
        <w:t>“</w:t>
      </w:r>
      <w:r w:rsidR="00FB505D" w:rsidRPr="00C53BA1">
        <w:rPr>
          <w:rFonts w:ascii="Times New Roman" w:hAnsi="Times New Roman" w:cs="Times New Roman"/>
          <w:i/>
          <w:iCs/>
          <w:sz w:val="24"/>
          <w:szCs w:val="24"/>
        </w:rPr>
        <w:t>ICWC</w:t>
      </w:r>
      <w:r w:rsidR="00C51979">
        <w:rPr>
          <w:rFonts w:ascii="Times New Roman" w:hAnsi="Times New Roman" w:cs="Times New Roman"/>
          <w:i/>
          <w:iCs/>
          <w:sz w:val="24"/>
          <w:szCs w:val="24"/>
        </w:rPr>
        <w:t xml:space="preserve"> v. Noem</w:t>
      </w:r>
      <w:r w:rsidR="00FB505D">
        <w:rPr>
          <w:rFonts w:ascii="Times New Roman" w:hAnsi="Times New Roman" w:cs="Times New Roman"/>
          <w:sz w:val="24"/>
          <w:szCs w:val="24"/>
        </w:rPr>
        <w:t>”)</w:t>
      </w:r>
      <w:r w:rsidR="00FB505D" w:rsidRPr="00AA0463">
        <w:rPr>
          <w:rFonts w:ascii="Times New Roman" w:hAnsi="Times New Roman" w:cs="Times New Roman"/>
          <w:sz w:val="24"/>
          <w:szCs w:val="24"/>
        </w:rPr>
        <w:t xml:space="preserve"> </w:t>
      </w:r>
      <w:r w:rsidR="00FB505D">
        <w:rPr>
          <w:rFonts w:ascii="Times New Roman" w:hAnsi="Times New Roman" w:cs="Times New Roman"/>
          <w:sz w:val="24"/>
          <w:szCs w:val="24"/>
        </w:rPr>
        <w:t>(“</w:t>
      </w:r>
      <w:r w:rsidR="00FB505D" w:rsidRPr="002C564E">
        <w:rPr>
          <w:rFonts w:ascii="Times New Roman" w:hAnsi="Times New Roman" w:cs="Times New Roman"/>
          <w:sz w:val="24"/>
          <w:szCs w:val="24"/>
        </w:rPr>
        <w:t>the Court hereby STAYS the 2025 Guidance,</w:t>
      </w:r>
      <w:r w:rsidR="00FB505D">
        <w:rPr>
          <w:rFonts w:ascii="Times New Roman" w:hAnsi="Times New Roman" w:cs="Times New Roman"/>
          <w:sz w:val="24"/>
          <w:szCs w:val="24"/>
        </w:rPr>
        <w:t xml:space="preserve"> </w:t>
      </w:r>
      <w:r w:rsidR="00FB505D" w:rsidRPr="002C564E">
        <w:rPr>
          <w:rFonts w:ascii="Times New Roman" w:hAnsi="Times New Roman" w:cs="Times New Roman"/>
          <w:sz w:val="24"/>
          <w:szCs w:val="24"/>
        </w:rPr>
        <w:t>including its rescission of prior policies.</w:t>
      </w:r>
      <w:r w:rsidR="00FB505D">
        <w:rPr>
          <w:rFonts w:ascii="Times New Roman" w:hAnsi="Times New Roman" w:cs="Times New Roman"/>
          <w:sz w:val="24"/>
          <w:szCs w:val="24"/>
        </w:rPr>
        <w:t xml:space="preserve">”). </w:t>
      </w:r>
      <w:r w:rsidR="00FB505D">
        <w:rPr>
          <w:rFonts w:ascii="Times New Roman" w:eastAsia="Times New Roman" w:hAnsi="Times New Roman" w:cs="Times New Roman"/>
          <w:sz w:val="24"/>
          <w:szCs w:val="24"/>
        </w:rPr>
        <w:t xml:space="preserve">In so doing, the court reinstated the </w:t>
      </w:r>
      <w:hyperlink r:id="rId9" w:history="1">
        <w:r w:rsidR="00FB505D" w:rsidRPr="0028553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2021 Directive, ICE Directive 11005.3</w:t>
        </w:r>
      </w:hyperlink>
      <w:r w:rsidR="00FB505D">
        <w:rPr>
          <w:rFonts w:ascii="Times New Roman" w:eastAsia="Times New Roman" w:hAnsi="Times New Roman" w:cs="Times New Roman"/>
          <w:sz w:val="24"/>
          <w:szCs w:val="24"/>
        </w:rPr>
        <w:t xml:space="preserve">, requiring ICE to use a “Victim-Centered Approach” when handling the cases of U visa, T visa, and VAWA petitioners, and the </w:t>
      </w:r>
      <w:hyperlink r:id="rId10" w:history="1">
        <w:r w:rsidR="00FB505D" w:rsidRPr="00FB50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2011 Policy Statement 10076.1</w:t>
        </w:r>
      </w:hyperlink>
      <w:r w:rsidR="00FB50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505D">
        <w:rPr>
          <w:rFonts w:ascii="Times New Roman" w:hAnsi="Times New Roman" w:cs="Times New Roman"/>
          <w:sz w:val="24"/>
          <w:szCs w:val="24"/>
        </w:rPr>
        <w:t>This ruling applies to members of the Pending Petition and Deferred Action Classes in that case. [Client] is a member of both classes.</w:t>
      </w:r>
      <w:r w:rsidR="00FB505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FB5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5A5AC" w14:textId="77777777" w:rsidR="009E46C8" w:rsidRDefault="009E46C8" w:rsidP="00AA04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9171FB" w14:textId="60EE2170" w:rsidR="00AA0463" w:rsidRDefault="00AA0463" w:rsidP="00AA04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Pr="00BA0E6E">
        <w:rPr>
          <w:rFonts w:ascii="Times New Roman" w:hAnsi="Times New Roman" w:cs="Times New Roman"/>
          <w:sz w:val="24"/>
          <w:szCs w:val="24"/>
        </w:rPr>
        <w:t>ICE Policy Statement 10076.1, it is generally “against ICE policy to initiate removal proceedings against an individual known to be the immediate victim</w:t>
      </w:r>
      <w:r>
        <w:rPr>
          <w:rFonts w:ascii="Times New Roman" w:hAnsi="Times New Roman" w:cs="Times New Roman"/>
          <w:sz w:val="24"/>
          <w:szCs w:val="24"/>
        </w:rPr>
        <w:t xml:space="preserve"> or witness </w:t>
      </w:r>
      <w:r w:rsidRPr="00BA0E6E">
        <w:rPr>
          <w:rFonts w:ascii="Times New Roman" w:hAnsi="Times New Roman" w:cs="Times New Roman"/>
          <w:sz w:val="24"/>
          <w:szCs w:val="24"/>
        </w:rPr>
        <w:t>to a crime.” ICE Policy Statement 10076.1 at 1. In the case of crime victims like [</w:t>
      </w:r>
      <w:r w:rsidR="00FB505D">
        <w:rPr>
          <w:rFonts w:ascii="Times New Roman" w:hAnsi="Times New Roman" w:cs="Times New Roman"/>
          <w:sz w:val="24"/>
          <w:szCs w:val="24"/>
        </w:rPr>
        <w:t>C</w:t>
      </w:r>
      <w:r w:rsidR="00755383">
        <w:rPr>
          <w:rFonts w:ascii="Times New Roman" w:hAnsi="Times New Roman" w:cs="Times New Roman"/>
          <w:sz w:val="24"/>
          <w:szCs w:val="24"/>
        </w:rPr>
        <w:t>lient</w:t>
      </w:r>
      <w:r w:rsidRPr="00BA0E6E">
        <w:rPr>
          <w:rFonts w:ascii="Times New Roman" w:hAnsi="Times New Roman" w:cs="Times New Roman"/>
          <w:sz w:val="24"/>
          <w:szCs w:val="24"/>
        </w:rPr>
        <w:t xml:space="preserve">], </w:t>
      </w:r>
      <w:r>
        <w:rPr>
          <w:rFonts w:ascii="Times New Roman" w:hAnsi="Times New Roman" w:cs="Times New Roman"/>
          <w:sz w:val="24"/>
          <w:szCs w:val="24"/>
        </w:rPr>
        <w:t>“[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]n the absence of” “national security concerns” or “serious criminal history,” “exercising favorable discretion, such as release from detention and deferral or a stay of removal generally, will be appropriate.” </w:t>
      </w:r>
      <w:r w:rsidRPr="00535451">
        <w:rPr>
          <w:rFonts w:ascii="Times New Roman" w:hAnsi="Times New Roman" w:cs="Times New Roman"/>
          <w:i/>
          <w:iCs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>. at 2. Under ICE Directive 11005.3, “absent exceptional circumstances, ICE will refrain from taking civil immigration enforcement action against known beneficiaries of victim-based immigration benefits and those known to have a pending application for such benefits.” ICE Directive 11005.3 at 2</w:t>
      </w:r>
      <w:r w:rsidR="00562E5E">
        <w:rPr>
          <w:rFonts w:ascii="Times New Roman" w:hAnsi="Times New Roman" w:cs="Times New Roman"/>
          <w:sz w:val="24"/>
          <w:szCs w:val="24"/>
        </w:rPr>
        <w:t xml:space="preserve"> ¶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64A3">
        <w:rPr>
          <w:rFonts w:ascii="Times New Roman" w:hAnsi="Times New Roman" w:cs="Times New Roman"/>
          <w:sz w:val="24"/>
          <w:szCs w:val="24"/>
        </w:rPr>
        <w:t xml:space="preserve"> “Exceptional circumstances generally exist only” where the “noncitizen poses national security concerns” or the “noncitizen poses an articulable risk of death, violence, or physical harm to any person.” </w:t>
      </w:r>
      <w:r w:rsidR="00CF64A3" w:rsidRPr="00485CF6">
        <w:rPr>
          <w:rFonts w:ascii="Times New Roman" w:hAnsi="Times New Roman" w:cs="Times New Roman"/>
          <w:i/>
          <w:iCs/>
          <w:sz w:val="24"/>
          <w:szCs w:val="24"/>
        </w:rPr>
        <w:t>Id</w:t>
      </w:r>
      <w:r w:rsidR="00CF64A3">
        <w:rPr>
          <w:rFonts w:ascii="Times New Roman" w:hAnsi="Times New Roman" w:cs="Times New Roman"/>
          <w:sz w:val="24"/>
          <w:szCs w:val="24"/>
        </w:rPr>
        <w:t xml:space="preserve">. at 3 ¶ 3.4. </w:t>
      </w:r>
      <w:r>
        <w:rPr>
          <w:rFonts w:ascii="Times New Roman" w:hAnsi="Times New Roman" w:cs="Times New Roman"/>
          <w:sz w:val="24"/>
          <w:szCs w:val="24"/>
        </w:rPr>
        <w:t xml:space="preserve">[Client] is a beneficiary of a victim-based benefit, poses no national security concerns or public safety threat, and has no serious criminal history. </w:t>
      </w:r>
      <w:r w:rsidR="00243D60">
        <w:rPr>
          <w:rFonts w:ascii="Times New Roman" w:eastAsia="Times New Roman" w:hAnsi="Times New Roman" w:cs="Times New Roman"/>
          <w:sz w:val="24"/>
          <w:szCs w:val="24"/>
        </w:rPr>
        <w:t xml:space="preserve">Thus, because it was issued </w:t>
      </w:r>
      <w:r w:rsidR="008824E4">
        <w:rPr>
          <w:rFonts w:ascii="Times New Roman" w:eastAsia="Times New Roman" w:hAnsi="Times New Roman" w:cs="Times New Roman"/>
          <w:sz w:val="24"/>
          <w:szCs w:val="24"/>
        </w:rPr>
        <w:t>in contravention of now-binding ICE policy</w:t>
      </w:r>
      <w:r w:rsidR="00243D60">
        <w:rPr>
          <w:rFonts w:ascii="Times New Roman" w:eastAsia="Times New Roman" w:hAnsi="Times New Roman" w:cs="Times New Roman"/>
          <w:sz w:val="24"/>
          <w:szCs w:val="24"/>
        </w:rPr>
        <w:t>, the Notice to Appear in [Client’s] case was issued “improvidently</w:t>
      </w:r>
      <w:proofErr w:type="gramStart"/>
      <w:r w:rsidR="00243D60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End"/>
      <w:r w:rsidR="00243D60">
        <w:rPr>
          <w:rFonts w:ascii="Times New Roman" w:eastAsia="Times New Roman" w:hAnsi="Times New Roman" w:cs="Times New Roman"/>
          <w:sz w:val="24"/>
          <w:szCs w:val="24"/>
        </w:rPr>
        <w:t xml:space="preserve"> and termination is appropriate. 8 C.F.R. </w:t>
      </w:r>
      <w:r w:rsidR="00243D60" w:rsidRPr="0037664C">
        <w:rPr>
          <w:rFonts w:ascii="Times New Roman" w:eastAsia="Times New Roman" w:hAnsi="Times New Roman" w:cs="Times New Roman"/>
          <w:sz w:val="24"/>
          <w:szCs w:val="24"/>
        </w:rPr>
        <w:t>§ 239.2</w:t>
      </w:r>
      <w:r w:rsidR="00243D60">
        <w:rPr>
          <w:rFonts w:ascii="Times New Roman" w:eastAsia="Times New Roman" w:hAnsi="Times New Roman" w:cs="Times New Roman"/>
          <w:sz w:val="24"/>
          <w:szCs w:val="24"/>
        </w:rPr>
        <w:t>(a)(6).</w:t>
      </w:r>
    </w:p>
    <w:p w14:paraId="2513C282" w14:textId="77777777" w:rsidR="00AA0463" w:rsidRDefault="00AA0463" w:rsidP="00AA04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EF0F36" w14:textId="24555659" w:rsidR="00E35119" w:rsidRPr="00C51979" w:rsidRDefault="00243D60" w:rsidP="00FB505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Third, </w:t>
      </w:r>
      <w:proofErr w:type="gramStart"/>
      <w:r w:rsidR="008E55E7">
        <w:rPr>
          <w:rFonts w:ascii="Times New Roman" w:eastAsia="Times New Roman" w:hAnsi="Times New Roman" w:cs="Times New Roman"/>
          <w:sz w:val="24"/>
          <w:szCs w:val="24"/>
        </w:rPr>
        <w:t>as a result of</w:t>
      </w:r>
      <w:proofErr w:type="gramEnd"/>
      <w:r w:rsidR="003766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46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C564E">
        <w:rPr>
          <w:rFonts w:ascii="Times New Roman" w:eastAsia="Times New Roman" w:hAnsi="Times New Roman" w:cs="Times New Roman"/>
          <w:sz w:val="24"/>
          <w:szCs w:val="24"/>
        </w:rPr>
        <w:t xml:space="preserve"> recent order</w:t>
      </w:r>
      <w:r w:rsidR="008E55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5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64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A5E39">
        <w:rPr>
          <w:rFonts w:ascii="Times New Roman" w:eastAsia="Times New Roman" w:hAnsi="Times New Roman" w:cs="Times New Roman"/>
          <w:sz w:val="24"/>
          <w:szCs w:val="24"/>
        </w:rPr>
        <w:t>[c]</w:t>
      </w:r>
      <w:proofErr w:type="spellStart"/>
      <w:r w:rsidR="00EA5E39" w:rsidRPr="00EA5E39">
        <w:rPr>
          <w:rFonts w:ascii="Times New Roman" w:eastAsia="Times New Roman" w:hAnsi="Times New Roman" w:cs="Times New Roman"/>
          <w:sz w:val="24"/>
          <w:szCs w:val="24"/>
        </w:rPr>
        <w:t>ircumstances</w:t>
      </w:r>
      <w:proofErr w:type="spellEnd"/>
      <w:r w:rsidR="00EA5E39" w:rsidRPr="00EA5E39">
        <w:rPr>
          <w:rFonts w:ascii="Times New Roman" w:eastAsia="Times New Roman" w:hAnsi="Times New Roman" w:cs="Times New Roman"/>
          <w:sz w:val="24"/>
          <w:szCs w:val="24"/>
        </w:rPr>
        <w:t xml:space="preserve"> of the case have changed after the notice to appear was issued to such an extent that continuation is no longer in the best interest of the government</w:t>
      </w:r>
      <w:r w:rsidR="0037664C">
        <w:rPr>
          <w:rFonts w:ascii="Times New Roman" w:eastAsia="Times New Roman" w:hAnsi="Times New Roman" w:cs="Times New Roman"/>
          <w:sz w:val="24"/>
          <w:szCs w:val="24"/>
        </w:rPr>
        <w:t xml:space="preserve">.” 8 C.F.R. </w:t>
      </w:r>
      <w:r w:rsidR="0037664C" w:rsidRPr="0037664C">
        <w:rPr>
          <w:rFonts w:ascii="Times New Roman" w:eastAsia="Times New Roman" w:hAnsi="Times New Roman" w:cs="Times New Roman"/>
          <w:sz w:val="24"/>
          <w:szCs w:val="24"/>
        </w:rPr>
        <w:t>§ 239.2</w:t>
      </w:r>
      <w:r w:rsidR="0037664C">
        <w:rPr>
          <w:rFonts w:ascii="Times New Roman" w:eastAsia="Times New Roman" w:hAnsi="Times New Roman" w:cs="Times New Roman"/>
          <w:sz w:val="24"/>
          <w:szCs w:val="24"/>
        </w:rPr>
        <w:t>(a)(</w:t>
      </w:r>
      <w:r w:rsidR="00EA5E39">
        <w:rPr>
          <w:rFonts w:ascii="Times New Roman" w:eastAsia="Times New Roman" w:hAnsi="Times New Roman" w:cs="Times New Roman"/>
          <w:sz w:val="24"/>
          <w:szCs w:val="24"/>
        </w:rPr>
        <w:t>7</w:t>
      </w:r>
      <w:r w:rsidR="0037664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AA0463">
        <w:rPr>
          <w:rFonts w:ascii="Times New Roman" w:hAnsi="Times New Roman" w:cs="Times New Roman"/>
          <w:sz w:val="24"/>
          <w:szCs w:val="24"/>
        </w:rPr>
        <w:t>The order</w:t>
      </w:r>
      <w:r w:rsidR="00E35119" w:rsidRPr="00A20532">
        <w:rPr>
          <w:rFonts w:ascii="Times New Roman" w:hAnsi="Times New Roman" w:cs="Times New Roman"/>
          <w:sz w:val="24"/>
          <w:szCs w:val="24"/>
        </w:rPr>
        <w:t xml:space="preserve"> affirmed that DHS cannot remove a [U visa/ T visa] petitioner who is in deferred action status. </w:t>
      </w:r>
      <w:r w:rsidR="00FB505D">
        <w:rPr>
          <w:rFonts w:ascii="Times New Roman" w:hAnsi="Times New Roman" w:cs="Times New Roman"/>
          <w:i/>
          <w:iCs/>
          <w:sz w:val="24"/>
          <w:szCs w:val="24"/>
        </w:rPr>
        <w:t>ICW</w:t>
      </w:r>
      <w:r w:rsidR="00FB505D" w:rsidRPr="00C5197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C51979" w:rsidRPr="00C51979">
        <w:rPr>
          <w:rFonts w:ascii="Times New Roman" w:hAnsi="Times New Roman" w:cs="Times New Roman"/>
          <w:i/>
          <w:iCs/>
          <w:sz w:val="24"/>
          <w:szCs w:val="24"/>
        </w:rPr>
        <w:t xml:space="preserve"> v. Noem</w:t>
      </w:r>
      <w:r w:rsidR="00FB505D" w:rsidRPr="00C51979">
        <w:rPr>
          <w:rFonts w:ascii="Times New Roman" w:hAnsi="Times New Roman" w:cs="Times New Roman"/>
          <w:sz w:val="24"/>
          <w:szCs w:val="24"/>
        </w:rPr>
        <w:t xml:space="preserve"> at *40</w:t>
      </w:r>
      <w:r w:rsidR="00E35119" w:rsidRPr="00A20532">
        <w:rPr>
          <w:rFonts w:ascii="Times New Roman" w:hAnsi="Times New Roman" w:cs="Times New Roman"/>
          <w:sz w:val="24"/>
          <w:szCs w:val="24"/>
        </w:rPr>
        <w:t xml:space="preserve"> (“a person with deferred action should neither be removed nor detained for immigration enforcement (removal) purposes.”).</w:t>
      </w:r>
      <w:r w:rsidR="00E35119">
        <w:rPr>
          <w:rFonts w:ascii="Times New Roman" w:hAnsi="Times New Roman" w:cs="Times New Roman"/>
          <w:sz w:val="24"/>
          <w:szCs w:val="24"/>
        </w:rPr>
        <w:t xml:space="preserve"> </w:t>
      </w:r>
      <w:r w:rsidR="00E35119" w:rsidRPr="00A20532">
        <w:rPr>
          <w:rFonts w:ascii="Times New Roman" w:hAnsi="Times New Roman" w:cs="Times New Roman"/>
          <w:sz w:val="24"/>
          <w:szCs w:val="24"/>
        </w:rPr>
        <w:t xml:space="preserve">[Client] is a </w:t>
      </w:r>
      <w:r w:rsidR="00AA0463">
        <w:rPr>
          <w:rFonts w:ascii="Times New Roman" w:hAnsi="Times New Roman" w:cs="Times New Roman"/>
          <w:sz w:val="24"/>
          <w:szCs w:val="24"/>
        </w:rPr>
        <w:t xml:space="preserve">member of the </w:t>
      </w:r>
      <w:r w:rsidR="00E35119" w:rsidRPr="00A20532">
        <w:rPr>
          <w:rFonts w:ascii="Times New Roman" w:hAnsi="Times New Roman" w:cs="Times New Roman"/>
          <w:sz w:val="24"/>
          <w:szCs w:val="24"/>
        </w:rPr>
        <w:t xml:space="preserve">Deferred Action Class </w:t>
      </w:r>
      <w:r w:rsidR="00AA0463">
        <w:rPr>
          <w:rFonts w:ascii="Times New Roman" w:hAnsi="Times New Roman" w:cs="Times New Roman"/>
          <w:sz w:val="24"/>
          <w:szCs w:val="24"/>
        </w:rPr>
        <w:t>certified in the order</w:t>
      </w:r>
      <w:r w:rsidR="00AA0463" w:rsidRPr="00A20532">
        <w:rPr>
          <w:rFonts w:ascii="Times New Roman" w:hAnsi="Times New Roman" w:cs="Times New Roman"/>
          <w:sz w:val="24"/>
          <w:szCs w:val="24"/>
        </w:rPr>
        <w:t xml:space="preserve"> </w:t>
      </w:r>
      <w:r w:rsidR="00E35119" w:rsidRPr="00A20532">
        <w:rPr>
          <w:rFonts w:ascii="Times New Roman" w:hAnsi="Times New Roman" w:cs="Times New Roman"/>
          <w:sz w:val="24"/>
          <w:szCs w:val="24"/>
        </w:rPr>
        <w:t xml:space="preserve">because “USCIS has granted [him/her] deferred action based on a pending U or T visa petition” and “ICE [] seeks to detain, or </w:t>
      </w:r>
      <w:proofErr w:type="gramStart"/>
      <w:r w:rsidR="00E35119" w:rsidRPr="00A20532">
        <w:rPr>
          <w:rFonts w:ascii="Times New Roman" w:hAnsi="Times New Roman" w:cs="Times New Roman"/>
          <w:sz w:val="24"/>
          <w:szCs w:val="24"/>
        </w:rPr>
        <w:t>remove[</w:t>
      </w:r>
      <w:proofErr w:type="gramEnd"/>
      <w:r w:rsidR="00E35119" w:rsidRPr="00A20532">
        <w:rPr>
          <w:rFonts w:ascii="Times New Roman" w:hAnsi="Times New Roman" w:cs="Times New Roman"/>
          <w:sz w:val="24"/>
          <w:szCs w:val="24"/>
        </w:rPr>
        <w:t>]” [him/her] “without providing notice and an opportunity to be heard regarding potential revocation of</w:t>
      </w:r>
      <w:r w:rsidR="00E35119">
        <w:rPr>
          <w:rFonts w:ascii="Times New Roman" w:hAnsi="Times New Roman" w:cs="Times New Roman"/>
          <w:sz w:val="24"/>
          <w:szCs w:val="24"/>
        </w:rPr>
        <w:t xml:space="preserve"> </w:t>
      </w:r>
      <w:r w:rsidR="00E35119" w:rsidRPr="00A20532">
        <w:rPr>
          <w:rFonts w:ascii="Times New Roman" w:hAnsi="Times New Roman" w:cs="Times New Roman"/>
          <w:sz w:val="24"/>
          <w:szCs w:val="24"/>
        </w:rPr>
        <w:t xml:space="preserve">their deferred action status.” </w:t>
      </w:r>
      <w:r w:rsidR="00E35119" w:rsidRPr="00A20532">
        <w:rPr>
          <w:rFonts w:ascii="Times New Roman" w:hAnsi="Times New Roman" w:cs="Times New Roman"/>
          <w:i/>
          <w:iCs/>
          <w:sz w:val="24"/>
          <w:szCs w:val="24"/>
        </w:rPr>
        <w:t>Id</w:t>
      </w:r>
      <w:r w:rsidR="00E35119" w:rsidRPr="00A20532">
        <w:rPr>
          <w:rFonts w:ascii="Times New Roman" w:hAnsi="Times New Roman" w:cs="Times New Roman"/>
          <w:sz w:val="24"/>
          <w:szCs w:val="24"/>
        </w:rPr>
        <w:t xml:space="preserve">. at </w:t>
      </w:r>
      <w:r w:rsidR="00A22008">
        <w:rPr>
          <w:rFonts w:ascii="Times New Roman" w:hAnsi="Times New Roman" w:cs="Times New Roman"/>
          <w:sz w:val="24"/>
          <w:szCs w:val="24"/>
        </w:rPr>
        <w:t>*47.</w:t>
      </w:r>
    </w:p>
    <w:p w14:paraId="7CF1A3E2" w14:textId="77777777" w:rsidR="00E35119" w:rsidRDefault="00E35119" w:rsidP="00E3511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8AFF17" w14:textId="10A1DEA7" w:rsidR="003B35D3" w:rsidRDefault="00243D60" w:rsidP="009E46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="008824E4">
        <w:rPr>
          <w:rFonts w:ascii="Times New Roman" w:eastAsia="Times New Roman" w:hAnsi="Times New Roman" w:cs="Times New Roman"/>
          <w:sz w:val="24"/>
          <w:szCs w:val="24"/>
        </w:rPr>
        <w:t>alternative</w:t>
      </w:r>
      <w:r w:rsidR="007342D4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E35119">
        <w:rPr>
          <w:rFonts w:ascii="Times New Roman" w:eastAsia="Times New Roman" w:hAnsi="Times New Roman" w:cs="Times New Roman"/>
          <w:sz w:val="24"/>
          <w:szCs w:val="24"/>
        </w:rPr>
        <w:t xml:space="preserve">dministrative closure is appropriate because [Client] is likely to succeed in </w:t>
      </w:r>
      <w:r w:rsidR="00A22008">
        <w:rPr>
          <w:rFonts w:ascii="Times New Roman" w:eastAsia="Times New Roman" w:hAnsi="Times New Roman" w:cs="Times New Roman"/>
          <w:sz w:val="24"/>
          <w:szCs w:val="24"/>
        </w:rPr>
        <w:t xml:space="preserve">[his/her] </w:t>
      </w:r>
      <w:r w:rsidR="00E35119">
        <w:rPr>
          <w:rFonts w:ascii="Times New Roman" w:eastAsia="Times New Roman" w:hAnsi="Times New Roman" w:cs="Times New Roman"/>
          <w:sz w:val="24"/>
          <w:szCs w:val="24"/>
        </w:rPr>
        <w:t xml:space="preserve">petition for a [U visa/ T visa]. </w:t>
      </w:r>
      <w:r w:rsidR="00E35119" w:rsidRPr="00AB3199">
        <w:rPr>
          <w:rFonts w:ascii="Times New Roman" w:eastAsia="Times New Roman" w:hAnsi="Times New Roman" w:cs="Times New Roman"/>
          <w:sz w:val="24"/>
          <w:szCs w:val="24"/>
        </w:rPr>
        <w:t>8 CFR 1003.18(c)(3)(</w:t>
      </w:r>
      <w:proofErr w:type="spellStart"/>
      <w:r w:rsidR="00E35119" w:rsidRPr="00AB319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E35119" w:rsidRPr="00AB3199">
        <w:rPr>
          <w:rFonts w:ascii="Times New Roman" w:eastAsia="Times New Roman" w:hAnsi="Times New Roman" w:cs="Times New Roman"/>
          <w:sz w:val="24"/>
          <w:szCs w:val="24"/>
        </w:rPr>
        <w:t>)(D)</w:t>
      </w:r>
      <w:r w:rsidR="00E35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42D4">
        <w:rPr>
          <w:rFonts w:ascii="Times New Roman" w:eastAsia="Times New Roman" w:hAnsi="Times New Roman" w:cs="Times New Roman"/>
          <w:sz w:val="24"/>
          <w:szCs w:val="24"/>
        </w:rPr>
        <w:t>[Client] has a bona fide determination, which necessarily means that [she/he] [“</w:t>
      </w:r>
      <w:r w:rsidR="007342D4" w:rsidRPr="007342D4">
        <w:rPr>
          <w:rFonts w:ascii="Times New Roman" w:eastAsia="Times New Roman" w:hAnsi="Times New Roman" w:cs="Times New Roman"/>
          <w:sz w:val="24"/>
          <w:szCs w:val="24"/>
        </w:rPr>
        <w:t>properly filed a complete Petition for U Nonimmigrant Status</w:t>
      </w:r>
      <w:r w:rsidR="007342D4">
        <w:rPr>
          <w:rFonts w:ascii="Times New Roman" w:eastAsia="Times New Roman" w:hAnsi="Times New Roman" w:cs="Times New Roman"/>
          <w:sz w:val="24"/>
          <w:szCs w:val="24"/>
        </w:rPr>
        <w:t>,” including law enforcement certification, and USCIS has completed a background and concluded that [she/he] warrants favorable discretion. USCIS Policy Manual Vol. 3, Pt. C, Chap. 5.</w:t>
      </w:r>
      <w:r w:rsidR="007F1FCB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7342D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342D4" w:rsidRPr="007342D4">
        <w:rPr>
          <w:rFonts w:ascii="Times New Roman" w:eastAsia="Times New Roman" w:hAnsi="Times New Roman" w:cs="Times New Roman"/>
          <w:sz w:val="24"/>
          <w:szCs w:val="24"/>
        </w:rPr>
        <w:t>properly filed a complete Application for T Nonimmigrant Status</w:t>
      </w:r>
      <w:r w:rsidR="007342D4">
        <w:rPr>
          <w:rFonts w:ascii="Times New Roman" w:eastAsia="Times New Roman" w:hAnsi="Times New Roman" w:cs="Times New Roman"/>
          <w:sz w:val="24"/>
          <w:szCs w:val="24"/>
        </w:rPr>
        <w:t>” and “</w:t>
      </w:r>
      <w:r w:rsidR="007342D4" w:rsidRPr="007342D4">
        <w:rPr>
          <w:rFonts w:ascii="Times New Roman" w:eastAsia="Times New Roman" w:hAnsi="Times New Roman" w:cs="Times New Roman"/>
          <w:sz w:val="24"/>
          <w:szCs w:val="24"/>
        </w:rPr>
        <w:t>does not present national security concerns</w:t>
      </w:r>
      <w:r w:rsidR="007F1F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42D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F1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FCB">
        <w:rPr>
          <w:rFonts w:ascii="Times New Roman" w:eastAsia="Times New Roman" w:hAnsi="Times New Roman" w:cs="Times New Roman"/>
          <w:sz w:val="24"/>
          <w:szCs w:val="24"/>
        </w:rPr>
        <w:t xml:space="preserve">USCIS Policy Manual Vol. 3, Pt. </w:t>
      </w:r>
      <w:r w:rsidR="007F1FCB">
        <w:rPr>
          <w:rFonts w:ascii="Times New Roman" w:eastAsia="Times New Roman" w:hAnsi="Times New Roman" w:cs="Times New Roman"/>
          <w:sz w:val="24"/>
          <w:szCs w:val="24"/>
        </w:rPr>
        <w:t>B</w:t>
      </w:r>
      <w:r w:rsidR="007F1FCB">
        <w:rPr>
          <w:rFonts w:ascii="Times New Roman" w:eastAsia="Times New Roman" w:hAnsi="Times New Roman" w:cs="Times New Roman"/>
          <w:sz w:val="24"/>
          <w:szCs w:val="24"/>
        </w:rPr>
        <w:t xml:space="preserve">, Chap. </w:t>
      </w:r>
      <w:r w:rsidR="007F1FCB">
        <w:rPr>
          <w:rFonts w:ascii="Times New Roman" w:eastAsia="Times New Roman" w:hAnsi="Times New Roman" w:cs="Times New Roman"/>
          <w:sz w:val="24"/>
          <w:szCs w:val="24"/>
        </w:rPr>
        <w:t>6</w:t>
      </w:r>
      <w:r w:rsidR="007F1F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42D4">
        <w:rPr>
          <w:rFonts w:ascii="Times New Roman" w:eastAsia="Times New Roman" w:hAnsi="Times New Roman" w:cs="Times New Roman"/>
          <w:sz w:val="24"/>
          <w:szCs w:val="24"/>
        </w:rPr>
        <w:t>]. [Client’s] bona fide determination strongly suggests that [she/he] is eligible for, and will ultimately receive, a [T visa/ U visa].</w:t>
      </w:r>
    </w:p>
    <w:p w14:paraId="110B376A" w14:textId="77777777" w:rsidR="00D75975" w:rsidRDefault="00D75975" w:rsidP="00E3511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EC989C" w14:textId="1659C15E" w:rsidR="00BA0E6E" w:rsidRPr="00BA0E6E" w:rsidRDefault="00BA0E6E" w:rsidP="00FE1758">
      <w:pPr>
        <w:rPr>
          <w:rFonts w:ascii="Times New Roman" w:hAnsi="Times New Roman" w:cs="Times New Roman"/>
          <w:sz w:val="24"/>
          <w:szCs w:val="24"/>
        </w:rPr>
      </w:pPr>
      <w:r w:rsidRPr="00BA0E6E">
        <w:rPr>
          <w:rFonts w:ascii="Times New Roman" w:hAnsi="Times New Roman" w:cs="Times New Roman"/>
          <w:sz w:val="24"/>
          <w:szCs w:val="24"/>
        </w:rPr>
        <w:lastRenderedPageBreak/>
        <w:t>Thank you for your consideration of this matter. Please feel free to contact me should you have any questions.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D5AA9" w14:textId="77777777" w:rsidR="00FE1758" w:rsidRPr="00716F16" w:rsidRDefault="00FE1758" w:rsidP="00022D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170602D" w14:textId="77777777" w:rsidR="004E75CF" w:rsidRPr="004E75CF" w:rsidRDefault="00022DB1" w:rsidP="004E75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75CF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61174408" w14:textId="77777777" w:rsidR="004E75CF" w:rsidRPr="004E75CF" w:rsidRDefault="004E75CF" w:rsidP="004E75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0FE7AF9" w14:textId="7841651A" w:rsidR="004E75CF" w:rsidRDefault="00025AE9" w:rsidP="004E75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[Attorney Name]</w:t>
      </w:r>
    </w:p>
    <w:p w14:paraId="05DD1FD8" w14:textId="2CC026D2" w:rsidR="00F63F91" w:rsidRPr="00FC54E1" w:rsidRDefault="00025AE9" w:rsidP="00FC54E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[Firm Address and Contact Information]</w:t>
      </w:r>
    </w:p>
    <w:sectPr w:rsidR="00F63F91" w:rsidRPr="00FC54E1" w:rsidSect="00FC5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62EF7" w14:textId="77777777" w:rsidR="00F2140E" w:rsidRDefault="00F2140E" w:rsidP="002C564E">
      <w:pPr>
        <w:spacing w:after="0" w:line="240" w:lineRule="auto"/>
      </w:pPr>
      <w:r>
        <w:separator/>
      </w:r>
    </w:p>
  </w:endnote>
  <w:endnote w:type="continuationSeparator" w:id="0">
    <w:p w14:paraId="448539C9" w14:textId="77777777" w:rsidR="00F2140E" w:rsidRDefault="00F2140E" w:rsidP="002C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D8887" w14:textId="77777777" w:rsidR="00F2140E" w:rsidRDefault="00F2140E" w:rsidP="002C564E">
      <w:pPr>
        <w:spacing w:after="0" w:line="240" w:lineRule="auto"/>
      </w:pPr>
      <w:r>
        <w:separator/>
      </w:r>
    </w:p>
  </w:footnote>
  <w:footnote w:type="continuationSeparator" w:id="0">
    <w:p w14:paraId="207E6CEB" w14:textId="77777777" w:rsidR="00F2140E" w:rsidRDefault="00F2140E" w:rsidP="002C564E">
      <w:pPr>
        <w:spacing w:after="0" w:line="240" w:lineRule="auto"/>
      </w:pPr>
      <w:r>
        <w:continuationSeparator/>
      </w:r>
    </w:p>
  </w:footnote>
  <w:footnote w:id="1">
    <w:p w14:paraId="1EFE2FA1" w14:textId="59CDFD28" w:rsidR="00FB505D" w:rsidRPr="00FC54E1" w:rsidRDefault="00FB505D" w:rsidP="00FB505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FC54E1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FC54E1">
        <w:rPr>
          <w:rFonts w:ascii="Times New Roman" w:hAnsi="Times New Roman" w:cs="Times New Roman"/>
          <w:sz w:val="24"/>
          <w:szCs w:val="24"/>
        </w:rPr>
        <w:t xml:space="preserve"> The </w:t>
      </w:r>
      <w:r w:rsidRPr="00755383">
        <w:rPr>
          <w:rFonts w:ascii="Times New Roman" w:hAnsi="Times New Roman" w:cs="Times New Roman"/>
          <w:sz w:val="24"/>
          <w:szCs w:val="24"/>
        </w:rPr>
        <w:t>Pending Petition Class</w:t>
      </w:r>
      <w:r>
        <w:rPr>
          <w:rFonts w:ascii="Times New Roman" w:hAnsi="Times New Roman" w:cs="Times New Roman"/>
          <w:sz w:val="24"/>
          <w:szCs w:val="24"/>
        </w:rPr>
        <w:t xml:space="preserve"> is defined as “</w:t>
      </w:r>
      <w:r w:rsidRPr="00755383">
        <w:rPr>
          <w:rFonts w:ascii="Times New Roman" w:hAnsi="Times New Roman" w:cs="Times New Roman"/>
          <w:sz w:val="24"/>
          <w:szCs w:val="24"/>
        </w:rPr>
        <w:t>All individuals with pending principal or derivative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83">
        <w:rPr>
          <w:rFonts w:ascii="Times New Roman" w:hAnsi="Times New Roman" w:cs="Times New Roman"/>
          <w:sz w:val="24"/>
          <w:szCs w:val="24"/>
        </w:rPr>
        <w:t>U visa petitions, T visa petitions, or VAWA self-petitions who ICE detains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83">
        <w:rPr>
          <w:rFonts w:ascii="Times New Roman" w:hAnsi="Times New Roman" w:cs="Times New Roman"/>
          <w:sz w:val="24"/>
          <w:szCs w:val="24"/>
        </w:rPr>
        <w:t>seeks to detain for civil immigration enforcement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Pr="00FC54E1">
        <w:rPr>
          <w:rFonts w:ascii="Times New Roman" w:hAnsi="Times New Roman" w:cs="Times New Roman"/>
          <w:i/>
          <w:iCs/>
          <w:sz w:val="24"/>
          <w:szCs w:val="24"/>
        </w:rPr>
        <w:t>ICWC</w:t>
      </w:r>
      <w:r w:rsidR="00C51979">
        <w:rPr>
          <w:rFonts w:ascii="Times New Roman" w:hAnsi="Times New Roman" w:cs="Times New Roman"/>
          <w:i/>
          <w:iCs/>
          <w:sz w:val="24"/>
          <w:szCs w:val="24"/>
        </w:rPr>
        <w:t xml:space="preserve"> v. Noem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9E46C8">
        <w:rPr>
          <w:rFonts w:ascii="Times New Roman" w:hAnsi="Times New Roman" w:cs="Times New Roman"/>
          <w:sz w:val="24"/>
          <w:szCs w:val="24"/>
        </w:rPr>
        <w:t>*</w:t>
      </w:r>
      <w:r w:rsidR="00562E5E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. The Deferred Action Class</w:t>
      </w:r>
      <w:r w:rsidRPr="00FC5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defined as “</w:t>
      </w:r>
      <w:r w:rsidRPr="00755383">
        <w:rPr>
          <w:rFonts w:ascii="Times New Roman" w:hAnsi="Times New Roman" w:cs="Times New Roman"/>
          <w:sz w:val="24"/>
          <w:szCs w:val="24"/>
        </w:rPr>
        <w:t>All individuals to whom USCIS has granted deferred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83">
        <w:rPr>
          <w:rFonts w:ascii="Times New Roman" w:hAnsi="Times New Roman" w:cs="Times New Roman"/>
          <w:sz w:val="24"/>
          <w:szCs w:val="24"/>
        </w:rPr>
        <w:t>action based on a pending U or T visa petition and who, during the authorized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83">
        <w:rPr>
          <w:rFonts w:ascii="Times New Roman" w:hAnsi="Times New Roman" w:cs="Times New Roman"/>
          <w:sz w:val="24"/>
          <w:szCs w:val="24"/>
        </w:rPr>
        <w:t>period of deferred action, ICE detains, seeks to detain, or removed without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83">
        <w:rPr>
          <w:rFonts w:ascii="Times New Roman" w:hAnsi="Times New Roman" w:cs="Times New Roman"/>
          <w:sz w:val="24"/>
          <w:szCs w:val="24"/>
        </w:rPr>
        <w:t>providing notice and an opportunity to be heard regarding potential revocation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383">
        <w:rPr>
          <w:rFonts w:ascii="Times New Roman" w:hAnsi="Times New Roman" w:cs="Times New Roman"/>
          <w:sz w:val="24"/>
          <w:szCs w:val="24"/>
        </w:rPr>
        <w:t>of their deferred action status.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FC54E1">
        <w:rPr>
          <w:rFonts w:ascii="Times New Roman" w:hAnsi="Times New Roman" w:cs="Times New Roman"/>
          <w:i/>
          <w:iCs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2E5E">
        <w:rPr>
          <w:rFonts w:ascii="Times New Roman" w:hAnsi="Times New Roman" w:cs="Times New Roman"/>
          <w:sz w:val="24"/>
          <w:szCs w:val="24"/>
        </w:rPr>
        <w:t xml:space="preserve"> at 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A6D4E"/>
    <w:multiLevelType w:val="multilevel"/>
    <w:tmpl w:val="19181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23A3A"/>
    <w:multiLevelType w:val="hybridMultilevel"/>
    <w:tmpl w:val="CB30A788"/>
    <w:lvl w:ilvl="0" w:tplc="F3884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B7480"/>
    <w:multiLevelType w:val="hybridMultilevel"/>
    <w:tmpl w:val="A030D6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0A59"/>
    <w:multiLevelType w:val="hybridMultilevel"/>
    <w:tmpl w:val="468836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D17DFA"/>
    <w:multiLevelType w:val="multilevel"/>
    <w:tmpl w:val="387C7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458B8"/>
    <w:multiLevelType w:val="hybridMultilevel"/>
    <w:tmpl w:val="85685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07BAB"/>
    <w:multiLevelType w:val="multilevel"/>
    <w:tmpl w:val="19181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434F0"/>
    <w:multiLevelType w:val="multilevel"/>
    <w:tmpl w:val="387C7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93560"/>
    <w:multiLevelType w:val="hybridMultilevel"/>
    <w:tmpl w:val="ACE2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02FCB"/>
    <w:multiLevelType w:val="hybridMultilevel"/>
    <w:tmpl w:val="91FC0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52A53"/>
    <w:multiLevelType w:val="hybridMultilevel"/>
    <w:tmpl w:val="3C003BF6"/>
    <w:lvl w:ilvl="0" w:tplc="A14C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63218"/>
    <w:multiLevelType w:val="hybridMultilevel"/>
    <w:tmpl w:val="EAAA2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B5DAC"/>
    <w:multiLevelType w:val="multilevel"/>
    <w:tmpl w:val="A866E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CED"/>
    <w:multiLevelType w:val="hybridMultilevel"/>
    <w:tmpl w:val="71E6F7A2"/>
    <w:lvl w:ilvl="0" w:tplc="2110C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0745E"/>
    <w:multiLevelType w:val="hybridMultilevel"/>
    <w:tmpl w:val="7070F540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FFFFFFFF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A3338DB"/>
    <w:multiLevelType w:val="hybridMultilevel"/>
    <w:tmpl w:val="B06003AC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7A8934CE"/>
    <w:multiLevelType w:val="hybridMultilevel"/>
    <w:tmpl w:val="AFBC40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0A20"/>
    <w:multiLevelType w:val="hybridMultilevel"/>
    <w:tmpl w:val="19589BDA"/>
    <w:lvl w:ilvl="0" w:tplc="FEB2A89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21249">
    <w:abstractNumId w:val="12"/>
  </w:num>
  <w:num w:numId="2" w16cid:durableId="1450663711">
    <w:abstractNumId w:val="15"/>
  </w:num>
  <w:num w:numId="3" w16cid:durableId="665321875">
    <w:abstractNumId w:val="9"/>
  </w:num>
  <w:num w:numId="4" w16cid:durableId="701244635">
    <w:abstractNumId w:val="0"/>
  </w:num>
  <w:num w:numId="5" w16cid:durableId="2079866087">
    <w:abstractNumId w:val="14"/>
  </w:num>
  <w:num w:numId="6" w16cid:durableId="592711661">
    <w:abstractNumId w:val="6"/>
  </w:num>
  <w:num w:numId="7" w16cid:durableId="1135487740">
    <w:abstractNumId w:val="4"/>
  </w:num>
  <w:num w:numId="8" w16cid:durableId="1714890882">
    <w:abstractNumId w:val="11"/>
  </w:num>
  <w:num w:numId="9" w16cid:durableId="583953785">
    <w:abstractNumId w:val="7"/>
  </w:num>
  <w:num w:numId="10" w16cid:durableId="749929603">
    <w:abstractNumId w:val="10"/>
  </w:num>
  <w:num w:numId="11" w16cid:durableId="499850464">
    <w:abstractNumId w:val="1"/>
  </w:num>
  <w:num w:numId="12" w16cid:durableId="994798407">
    <w:abstractNumId w:val="16"/>
  </w:num>
  <w:num w:numId="13" w16cid:durableId="2116291943">
    <w:abstractNumId w:val="2"/>
  </w:num>
  <w:num w:numId="14" w16cid:durableId="1405954901">
    <w:abstractNumId w:val="5"/>
  </w:num>
  <w:num w:numId="15" w16cid:durableId="562717623">
    <w:abstractNumId w:val="3"/>
  </w:num>
  <w:num w:numId="16" w16cid:durableId="1791126811">
    <w:abstractNumId w:val="17"/>
  </w:num>
  <w:num w:numId="17" w16cid:durableId="1668946768">
    <w:abstractNumId w:val="13"/>
  </w:num>
  <w:num w:numId="18" w16cid:durableId="917640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B1"/>
    <w:rsid w:val="00022DB1"/>
    <w:rsid w:val="00025AE9"/>
    <w:rsid w:val="0003348B"/>
    <w:rsid w:val="000562D7"/>
    <w:rsid w:val="000A203E"/>
    <w:rsid w:val="000D4A4E"/>
    <w:rsid w:val="000D7B7A"/>
    <w:rsid w:val="000E0545"/>
    <w:rsid w:val="000F7365"/>
    <w:rsid w:val="001331BA"/>
    <w:rsid w:val="001378BF"/>
    <w:rsid w:val="00167040"/>
    <w:rsid w:val="0018026A"/>
    <w:rsid w:val="00181239"/>
    <w:rsid w:val="00186451"/>
    <w:rsid w:val="001B5E12"/>
    <w:rsid w:val="001C131B"/>
    <w:rsid w:val="00202654"/>
    <w:rsid w:val="00243D60"/>
    <w:rsid w:val="002463F3"/>
    <w:rsid w:val="00246A4E"/>
    <w:rsid w:val="002529D7"/>
    <w:rsid w:val="00271BD2"/>
    <w:rsid w:val="002907A9"/>
    <w:rsid w:val="00296F9F"/>
    <w:rsid w:val="002A501D"/>
    <w:rsid w:val="002C564E"/>
    <w:rsid w:val="002F7F41"/>
    <w:rsid w:val="0032117F"/>
    <w:rsid w:val="00336341"/>
    <w:rsid w:val="003540ED"/>
    <w:rsid w:val="00363DC5"/>
    <w:rsid w:val="0037664C"/>
    <w:rsid w:val="003939BE"/>
    <w:rsid w:val="003B35D3"/>
    <w:rsid w:val="003D03F2"/>
    <w:rsid w:val="003E0850"/>
    <w:rsid w:val="003E556D"/>
    <w:rsid w:val="003E6E84"/>
    <w:rsid w:val="00407C32"/>
    <w:rsid w:val="00412C6E"/>
    <w:rsid w:val="00426450"/>
    <w:rsid w:val="00441034"/>
    <w:rsid w:val="004512FA"/>
    <w:rsid w:val="00465497"/>
    <w:rsid w:val="004800E9"/>
    <w:rsid w:val="00484181"/>
    <w:rsid w:val="004A5E2D"/>
    <w:rsid w:val="004D1AEE"/>
    <w:rsid w:val="004E75CF"/>
    <w:rsid w:val="004F50D6"/>
    <w:rsid w:val="005025F3"/>
    <w:rsid w:val="00523800"/>
    <w:rsid w:val="00535451"/>
    <w:rsid w:val="00561481"/>
    <w:rsid w:val="00562E5E"/>
    <w:rsid w:val="00566AFD"/>
    <w:rsid w:val="00584202"/>
    <w:rsid w:val="00586B4F"/>
    <w:rsid w:val="005D5C11"/>
    <w:rsid w:val="005F11A5"/>
    <w:rsid w:val="006330E6"/>
    <w:rsid w:val="0063521B"/>
    <w:rsid w:val="00664B6F"/>
    <w:rsid w:val="00672044"/>
    <w:rsid w:val="0068036C"/>
    <w:rsid w:val="00683438"/>
    <w:rsid w:val="006961C8"/>
    <w:rsid w:val="006A1F8C"/>
    <w:rsid w:val="006C7E62"/>
    <w:rsid w:val="006D627D"/>
    <w:rsid w:val="00716F16"/>
    <w:rsid w:val="007342D4"/>
    <w:rsid w:val="00755383"/>
    <w:rsid w:val="007611F0"/>
    <w:rsid w:val="00767AD1"/>
    <w:rsid w:val="007F1FCB"/>
    <w:rsid w:val="008108D6"/>
    <w:rsid w:val="008302C9"/>
    <w:rsid w:val="00842C1E"/>
    <w:rsid w:val="00850D8D"/>
    <w:rsid w:val="008824E4"/>
    <w:rsid w:val="008828A9"/>
    <w:rsid w:val="0088323C"/>
    <w:rsid w:val="00883780"/>
    <w:rsid w:val="008A7B77"/>
    <w:rsid w:val="008B151C"/>
    <w:rsid w:val="008C6016"/>
    <w:rsid w:val="008E287F"/>
    <w:rsid w:val="008E55E7"/>
    <w:rsid w:val="008E5A10"/>
    <w:rsid w:val="009121EC"/>
    <w:rsid w:val="00923A63"/>
    <w:rsid w:val="009319CD"/>
    <w:rsid w:val="0094510A"/>
    <w:rsid w:val="00950474"/>
    <w:rsid w:val="00971EFE"/>
    <w:rsid w:val="00984DDB"/>
    <w:rsid w:val="00992FF6"/>
    <w:rsid w:val="009C2616"/>
    <w:rsid w:val="009E46C8"/>
    <w:rsid w:val="009E5005"/>
    <w:rsid w:val="00A02153"/>
    <w:rsid w:val="00A04CCE"/>
    <w:rsid w:val="00A14315"/>
    <w:rsid w:val="00A207C9"/>
    <w:rsid w:val="00A22008"/>
    <w:rsid w:val="00A51092"/>
    <w:rsid w:val="00A623B1"/>
    <w:rsid w:val="00A73451"/>
    <w:rsid w:val="00AA0463"/>
    <w:rsid w:val="00AA4F0C"/>
    <w:rsid w:val="00AB3199"/>
    <w:rsid w:val="00AD6F2F"/>
    <w:rsid w:val="00AF66C7"/>
    <w:rsid w:val="00AF6B37"/>
    <w:rsid w:val="00B31BE4"/>
    <w:rsid w:val="00B72341"/>
    <w:rsid w:val="00B80093"/>
    <w:rsid w:val="00BA0E6E"/>
    <w:rsid w:val="00BC05F5"/>
    <w:rsid w:val="00BC5D30"/>
    <w:rsid w:val="00BD5D2F"/>
    <w:rsid w:val="00BF19A1"/>
    <w:rsid w:val="00BF4F73"/>
    <w:rsid w:val="00BF7371"/>
    <w:rsid w:val="00C03B8F"/>
    <w:rsid w:val="00C04253"/>
    <w:rsid w:val="00C51979"/>
    <w:rsid w:val="00C63FB0"/>
    <w:rsid w:val="00C741B1"/>
    <w:rsid w:val="00C75696"/>
    <w:rsid w:val="00C87A2B"/>
    <w:rsid w:val="00C916B3"/>
    <w:rsid w:val="00CB515E"/>
    <w:rsid w:val="00CF1884"/>
    <w:rsid w:val="00CF64A3"/>
    <w:rsid w:val="00D00493"/>
    <w:rsid w:val="00D17815"/>
    <w:rsid w:val="00D2311F"/>
    <w:rsid w:val="00D30064"/>
    <w:rsid w:val="00D325A5"/>
    <w:rsid w:val="00D558BB"/>
    <w:rsid w:val="00D74F0B"/>
    <w:rsid w:val="00D75975"/>
    <w:rsid w:val="00D95701"/>
    <w:rsid w:val="00D97548"/>
    <w:rsid w:val="00DA0769"/>
    <w:rsid w:val="00DB6A9F"/>
    <w:rsid w:val="00DB7E47"/>
    <w:rsid w:val="00DC1EEC"/>
    <w:rsid w:val="00DD17C6"/>
    <w:rsid w:val="00DE6883"/>
    <w:rsid w:val="00DF4EEB"/>
    <w:rsid w:val="00E10E88"/>
    <w:rsid w:val="00E35119"/>
    <w:rsid w:val="00E62042"/>
    <w:rsid w:val="00E90FDD"/>
    <w:rsid w:val="00E91DFD"/>
    <w:rsid w:val="00EA5E39"/>
    <w:rsid w:val="00EC4D47"/>
    <w:rsid w:val="00EC7758"/>
    <w:rsid w:val="00ED76D2"/>
    <w:rsid w:val="00EF3A4F"/>
    <w:rsid w:val="00F2140E"/>
    <w:rsid w:val="00F23294"/>
    <w:rsid w:val="00F6033C"/>
    <w:rsid w:val="00F638D1"/>
    <w:rsid w:val="00F63F91"/>
    <w:rsid w:val="00F70655"/>
    <w:rsid w:val="00F81B4F"/>
    <w:rsid w:val="00FA0616"/>
    <w:rsid w:val="00FA2304"/>
    <w:rsid w:val="00FB505D"/>
    <w:rsid w:val="00FC491D"/>
    <w:rsid w:val="00FC54E1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27FA"/>
  <w15:chartTrackingRefBased/>
  <w15:docId w15:val="{17A7D9F2-DC79-8C46-A171-33F3658F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B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D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E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64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7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6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6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6D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3F9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6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6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564E"/>
    <w:rPr>
      <w:vertAlign w:val="superscript"/>
    </w:rPr>
  </w:style>
  <w:style w:type="paragraph" w:styleId="Revision">
    <w:name w:val="Revision"/>
    <w:hidden/>
    <w:uiPriority w:val="99"/>
    <w:semiHidden/>
    <w:rsid w:val="00AA04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.gov/doclib/foia/policy/11005.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ce.gov/doclib/foia/prosecutorial-discretion/certain-victims-witnesses-plaintiff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waplibrary.wcl.american.edu/wp-content/uploads/ICE-Victim-Centered-Directive-11005.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42E402-5D83-3D4C-8472-8E14BF8B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1028</Words>
  <Characters>5575</Characters>
  <Application>Microsoft Office Word</Application>
  <DocSecurity>0</DocSecurity>
  <Lines>97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Reyes</dc:creator>
  <cp:keywords/>
  <dc:description/>
  <cp:lastModifiedBy>Monika Langarica</cp:lastModifiedBy>
  <cp:revision>2</cp:revision>
  <dcterms:created xsi:type="dcterms:W3CDTF">2026-06-05T21:46:00Z</dcterms:created>
  <dcterms:modified xsi:type="dcterms:W3CDTF">2026-06-05T21:46:00Z</dcterms:modified>
</cp:coreProperties>
</file>